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2" w:rsidRDefault="00FB35C2" w:rsidP="00FB35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LEGAL NOTICE – ANNUAL TREASURER’S REPORT</w:t>
      </w:r>
    </w:p>
    <w:p w:rsidR="00FB35C2" w:rsidRDefault="00FB35C2" w:rsidP="00FB35C2">
      <w:pPr>
        <w:jc w:val="center"/>
        <w:rPr>
          <w:b/>
          <w:sz w:val="20"/>
          <w:szCs w:val="20"/>
        </w:rPr>
      </w:pPr>
      <w:smartTag w:uri="urn:schemas-microsoft-com:office:smarttags" w:element="PlaceType">
        <w:r>
          <w:rPr>
            <w:b/>
            <w:sz w:val="20"/>
            <w:szCs w:val="20"/>
          </w:rPr>
          <w:t>VILLAGE</w:t>
        </w:r>
      </w:smartTag>
      <w:r>
        <w:rPr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b/>
            <w:sz w:val="20"/>
            <w:szCs w:val="20"/>
          </w:rPr>
          <w:t>HINSDALE</w:t>
        </w:r>
      </w:smartTag>
      <w:r>
        <w:rPr>
          <w:b/>
          <w:sz w:val="20"/>
          <w:szCs w:val="20"/>
        </w:rPr>
        <w:t xml:space="preserve"> AND </w:t>
      </w:r>
      <w:smartTag w:uri="urn:schemas-microsoft-com:office:smarttags" w:element="place">
        <w:r>
          <w:rPr>
            <w:b/>
            <w:sz w:val="20"/>
            <w:szCs w:val="20"/>
          </w:rPr>
          <w:t>HINSDALE</w:t>
        </w:r>
      </w:smartTag>
      <w:r>
        <w:rPr>
          <w:b/>
          <w:sz w:val="20"/>
          <w:szCs w:val="20"/>
        </w:rPr>
        <w:t xml:space="preserve"> PUBLIC LIBRARY</w:t>
      </w:r>
    </w:p>
    <w:p w:rsidR="00FB35C2" w:rsidRDefault="00FB35C2" w:rsidP="00FB35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COOK AND DU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  <w:szCs w:val="20"/>
            </w:rPr>
            <w:t>PAGE COUNTIES</w:t>
          </w:r>
        </w:smartTag>
        <w:r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  <w:szCs w:val="20"/>
            </w:rPr>
            <w:t>ILLINOIS</w:t>
          </w:r>
        </w:smartTag>
      </w:smartTag>
    </w:p>
    <w:p w:rsidR="00FB35C2" w:rsidRDefault="00FB35C2" w:rsidP="00FB35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FISCAL YEAR ENDING APRIL 30, 2013</w:t>
      </w:r>
    </w:p>
    <w:p w:rsidR="00FB35C2" w:rsidRDefault="00FB35C2" w:rsidP="00FB35C2">
      <w:pPr>
        <w:jc w:val="center"/>
        <w:rPr>
          <w:b/>
          <w:sz w:val="20"/>
          <w:szCs w:val="20"/>
        </w:rPr>
      </w:pPr>
    </w:p>
    <w:p w:rsidR="00FB35C2" w:rsidRDefault="00FB35C2" w:rsidP="00FB35C2">
      <w:pPr>
        <w:jc w:val="both"/>
        <w:rPr>
          <w:b/>
          <w:sz w:val="20"/>
          <w:szCs w:val="20"/>
        </w:rPr>
      </w:pPr>
      <w:r w:rsidRPr="000111F2">
        <w:rPr>
          <w:b/>
          <w:sz w:val="20"/>
          <w:szCs w:val="20"/>
        </w:rPr>
        <w:t xml:space="preserve">REVENUES:  </w:t>
      </w:r>
      <w:r w:rsidRPr="000111F2">
        <w:rPr>
          <w:sz w:val="20"/>
          <w:szCs w:val="20"/>
        </w:rPr>
        <w:t>PROPERTY TAXES -</w:t>
      </w:r>
      <w:r w:rsidRPr="000111F2">
        <w:rPr>
          <w:b/>
          <w:sz w:val="20"/>
          <w:szCs w:val="20"/>
        </w:rPr>
        <w:t xml:space="preserve"> </w:t>
      </w:r>
      <w:r w:rsidRPr="000111F2">
        <w:rPr>
          <w:sz w:val="20"/>
          <w:szCs w:val="20"/>
        </w:rPr>
        <w:t xml:space="preserve">8,641,324.58,   INCOME TAX - 1,591,087.20,  </w:t>
      </w:r>
      <w:r>
        <w:rPr>
          <w:sz w:val="20"/>
          <w:szCs w:val="20"/>
        </w:rPr>
        <w:t xml:space="preserve"> REPLACEMENT TAX - 242,908.60, </w:t>
      </w:r>
      <w:r w:rsidRPr="000111F2">
        <w:rPr>
          <w:sz w:val="20"/>
          <w:szCs w:val="20"/>
        </w:rPr>
        <w:t>SALES TAX - 3,075,208.92, NON-HOME RULE SALES TAX - 1,645,118.47</w:t>
      </w:r>
      <w:r>
        <w:rPr>
          <w:sz w:val="20"/>
          <w:szCs w:val="20"/>
        </w:rPr>
        <w:t>,</w:t>
      </w:r>
      <w:r w:rsidRPr="000111F2">
        <w:rPr>
          <w:sz w:val="20"/>
          <w:szCs w:val="20"/>
        </w:rPr>
        <w:t xml:space="preserve"> FOREIGN FIRE INSURANCE TAX - 43,926.37,  UTILITY TAXES - 2,780,924.69, LOCAL FOOD AND BEVERAGE TAX - 310,261.13,  LICENSES - 401,997.00,  FRANCHISE FEES - 253,902.58,  PERMITS - 1,125,519.10, SERVICE FEES - 1,443,065.99,  FINES  - 404,636.92,  INTEREST INCOME - 1,018,872.94, BOND PROCEEDS - 7,710,000.00</w:t>
      </w:r>
      <w:r>
        <w:rPr>
          <w:sz w:val="20"/>
          <w:szCs w:val="20"/>
        </w:rPr>
        <w:t xml:space="preserve">, </w:t>
      </w:r>
      <w:r w:rsidRPr="000111F2">
        <w:rPr>
          <w:sz w:val="20"/>
          <w:szCs w:val="20"/>
        </w:rPr>
        <w:t xml:space="preserve"> PREMIUM ON BONDS - 149,407.60,  APPRECIATION IN FAIR VALUE - 3,243,849.00,  PARKING FEES - 718,801.14,  GRANTS - 566,937.34,  DONATIONS - 25,823.38,  CONTRIBUTION FROM PROPERTY OWNERS - 1,535,996.40,  WATER SALES - 7,226,481.64,  SEWER FEES - 763,597.46,  MOTOR FUEL ALLOTMENTS - 482,921.16,  SALE OF PROPERTY  - 27,131.47, LIBRARY FINES AND FEES - 48,182.74,  EMPLOYEE PENSION CONTRIBUTIONS - 404,377.26,  MISCELLANEOUS - 594,673.20, </w:t>
      </w:r>
      <w:r w:rsidRPr="000111F2">
        <w:rPr>
          <w:b/>
          <w:sz w:val="20"/>
          <w:szCs w:val="20"/>
        </w:rPr>
        <w:t xml:space="preserve"> TOTAL REVENUES: $46,476,934.28.</w:t>
      </w:r>
    </w:p>
    <w:p w:rsidR="00FB35C2" w:rsidRPr="009105EA" w:rsidRDefault="00FB35C2" w:rsidP="00FB35C2">
      <w:pPr>
        <w:tabs>
          <w:tab w:val="left" w:pos="3600"/>
        </w:tabs>
        <w:jc w:val="both"/>
        <w:rPr>
          <w:sz w:val="20"/>
          <w:szCs w:val="20"/>
        </w:rPr>
      </w:pPr>
      <w:r w:rsidRPr="00B07F47">
        <w:rPr>
          <w:b/>
          <w:sz w:val="20"/>
          <w:szCs w:val="20"/>
        </w:rPr>
        <w:t>VENDOR DISBURSEMENTS OVER $2,500:</w:t>
      </w:r>
      <w:r>
        <w:rPr>
          <w:b/>
          <w:sz w:val="20"/>
          <w:szCs w:val="20"/>
        </w:rPr>
        <w:t xml:space="preserve"> </w:t>
      </w:r>
      <w:r w:rsidRPr="00897D13">
        <w:rPr>
          <w:b/>
          <w:sz w:val="22"/>
          <w:szCs w:val="22"/>
        </w:rPr>
        <w:t xml:space="preserve"> </w:t>
      </w:r>
      <w:r w:rsidRPr="00B07F47">
        <w:rPr>
          <w:sz w:val="20"/>
          <w:szCs w:val="20"/>
        </w:rPr>
        <w:t>29 FIRST LLC - 10,000, 5 STAR SOCCER CAMPS, INC - 4,587.20, A MOON JUMP 4V - 3,475.00, A PLUS GARAGE DOOR, INC - 3,483.00, A W WENDELL &amp; SONS - 2,500.00,</w:t>
      </w:r>
      <w:r>
        <w:rPr>
          <w:sz w:val="20"/>
          <w:szCs w:val="20"/>
        </w:rPr>
        <w:t xml:space="preserve"> </w:t>
      </w:r>
      <w:r w:rsidRPr="00B07F47">
        <w:rPr>
          <w:sz w:val="20"/>
          <w:szCs w:val="20"/>
        </w:rPr>
        <w:t xml:space="preserve">ABC COMMERCIAL MAINT SERV - 16,588.00, ABDO, DANIEL - 3,000.00, ACTION FENCE CONTRACT INC - 41,282.00, AFLAC-FLEXONE - 17,021.84, AIMEE HUCEK DESIGN - 3,920.00, AIR ONE EQUIPMENT - 7,678.27, ALLIED WASTE REPUBLIC SVC - 7,975.71, ALLIED WASTE SERVICES 551 - 5,500.00, AMALGAMATED BK OF CHICAGO - 1,353,695.02, AMAZON - 15,128.00, AMERICAN EXPRESS - 17,155.64, ANDRES MEDICAL BILLING LT - 31,948.81, ANN NATHAN GALLERY - 5,500.00, APHRODITE DEEDEE HEGEL TT - 7,590.00, APPLE, INC. - 9,871.90, APRIL BUILDING SERVICES - 22,223.00, AQUA PURE ENTERPRISES - 3,742.59, ARAMARK UNIFORM SERVICES - 10,194.39, ASPEN CONSTRUCTION - 9,042.00, ASPEN CONSTRUCTION SERVIC - 3,000.00, ASSOC TECHNICAL SERVICES - 7,015.25, AT &amp; T - 21,140.60, AT&amp;T - 9,945.65, </w:t>
      </w:r>
      <w:r w:rsidRPr="009105EA">
        <w:rPr>
          <w:sz w:val="20"/>
          <w:szCs w:val="20"/>
        </w:rPr>
        <w:t>ATLANTA SOSNOFF CAPITAL, LLC</w:t>
      </w:r>
      <w:r>
        <w:rPr>
          <w:sz w:val="20"/>
          <w:szCs w:val="20"/>
        </w:rPr>
        <w:t xml:space="preserve"> – 4,078.00, </w:t>
      </w:r>
      <w:r w:rsidRPr="00B07F47">
        <w:rPr>
          <w:sz w:val="20"/>
          <w:szCs w:val="20"/>
        </w:rPr>
        <w:t xml:space="preserve">ATLAS BOBCAT INC - 3,265.75, </w:t>
      </w:r>
      <w:r w:rsidRPr="009105EA">
        <w:rPr>
          <w:sz w:val="20"/>
          <w:szCs w:val="20"/>
        </w:rPr>
        <w:t>ATWELL &amp; ATWELL</w:t>
      </w:r>
      <w:r>
        <w:rPr>
          <w:sz w:val="20"/>
          <w:szCs w:val="20"/>
        </w:rPr>
        <w:t xml:space="preserve"> – 9,967.79, </w:t>
      </w:r>
      <w:r w:rsidRPr="00B07F47">
        <w:rPr>
          <w:sz w:val="20"/>
          <w:szCs w:val="20"/>
        </w:rPr>
        <w:t xml:space="preserve">BAKER &amp; TAYLOR - 58,898.94, BAKER &amp; TAYLOR ENTERTAIN - 6,626.20, BAKER &amp; TAYLOR-YS - 26,332.05, BANK OF AMERICA LOCKBOX - 36,068.90, BANNERVILLE USA - 3,557.00, BARNES &amp; NOBLE - 3,784.64, BATTAGLIA HOMES - 3,000.00, BEACON SSI INCORPORATED - 8,525.85, BEECHEN &amp; DILL HOMES - 13,000.00, BENFIELD PROPERTIES - 4,265.00, BERKELEY TRUCKING INC - 10,785.00, BEYOND EVENTS - 5,232.28, BHFX DIGITAL IMAGING - 12,921.88, BIELSKI, WESLEY - 5,745.00, BIG TREES INC - 3,165.00, BJELDANES, CATHERINE &amp; - 13,300.00, BLAKELY CUSTOM HOMES - 9,350.00, </w:t>
      </w:r>
      <w:r w:rsidRPr="009105EA">
        <w:rPr>
          <w:sz w:val="20"/>
          <w:szCs w:val="20"/>
        </w:rPr>
        <w:t>BMO ASSET MANAGEMENT CORP</w:t>
      </w:r>
      <w:r>
        <w:rPr>
          <w:sz w:val="20"/>
          <w:szCs w:val="20"/>
        </w:rPr>
        <w:t xml:space="preserve"> – 80,571.07, </w:t>
      </w:r>
      <w:r w:rsidRPr="00B07F47">
        <w:rPr>
          <w:sz w:val="20"/>
          <w:szCs w:val="20"/>
        </w:rPr>
        <w:t xml:space="preserve">BONO CSR KATHLEEN W. - 5,862.00, BOYLE, KEVIN - 7,815.00, BRANIFF COMMUNICATIONS IN - 4,656.50, BRIGHT IDEAS INC - 19,988.00, BROTHERS ASPHALT PAVING - 180,811.23, BRZOZOWSKI, FRED - 9,131.00, BURKE, KEVIN - 3,583.00, BURRIS EQUIPMENT CO - 33,171.12, BUSINESS INTERIORS - 2,604.30, BYRNE BUILDERS - 5,830.00, CALEA - 4,219.50, CALLONE - 40,056.90, CANYON PRAIRIE - 13,097.49, CARRYCASE ENTERPRISES,INC - 8,883.00, CASE LOTS INC - 20,668.71, CATALANO, CHRIS &amp; MARY - 7,400.00, CDC ENTERPRISES, INC - 9,630.00, CDW-GOVERNMENT INC. - 26,434.26, CEDAR PATH NURSERIES - 7,614.50, CEDAR VALLEY - 12,095.00, CHANTICLEER HOMES - 15,046.00, CHAPMAN AND CUTLER - 49,300.00, CHASE - 182,061.22, CHAWLA, MANEESH - 3,000.00, CHESS SCHOLARS - 2,897.00, CHICAGO ARTISAN ROASTERS - 3,000.00, CHICAGO BULLS/WHITE SOX - 4,592.44, CHICAGO ELEVATOR COMPANY - 22,109.89, CHICAGO INTERNATIONAL - 14,684.51, CHICAGO TESTING LABORATOR - 8,625.25, CHRISTOPHER, DORIS - 2,500.00, CINTAS - 14,246.17, CLARENDON HILLS PARK DIST - 2,637.80, CLARK BAIRD SMITH LLP - 54,843.68, CLARK DIETZ ENGINEERS - 347,943.14, CLARKE ENVIRONMENTAL - 55,496.00, CLASSIC LANDSCAPE LTD - 87,063.00, CODECO INDUSTRIES INC - 10,445.00, COLLINS SARSFIELD CONSTRU - 10,000.00, COLLINS-SARSFIELD CONSTRU - 3,000.00, COMCAST - 10,406.72, COMED - 115,230.70, COMMERCIAL COFFEE SERVICE - 2,898.10, COMMUNICATIONS BUILDERS - 29,934.50, CONSERV FS - 6,847.78, CONSTELLATION - 8,700.15, CONSTELLATION NEWENERGY - 18,747.89, COTTAGE GARDENS INC - 9,218.88, COURTYARD HOMES - 15,190.00, CREATIVE PRODUCT SOURCING - 2,657.96, CREBER CONSTRUCTION - 6,000.00, CSR ROOFING INC - 3,706.23, CURRENT TECHNOLOGIES - 60,594.90, DANMAR - 82,550.77, DARWILL - 4,760.00, DEJANA INDUSTRIES INC. - 33,221.37, DELL MARKETING L.P. - 6,259.59, DEMCO - 3,801.32, DENNIS ZANDER/SANDRA KAPP - 6,372.00, DESIGN PERSPECTIVES - 16,792.50, DIRECT ADVANTAGE INC - 64,206.43, DISCRAFT - 6,844.25, DLAND CONSTRUCTION LLC - </w:t>
      </w:r>
      <w:r w:rsidRPr="00B07F47">
        <w:rPr>
          <w:sz w:val="20"/>
          <w:szCs w:val="20"/>
        </w:rPr>
        <w:lastRenderedPageBreak/>
        <w:t xml:space="preserve">72,840.14, DOME DESIGN BUILD - 117,131.26, DRESSLER, DAVID - 12,239.00, DUMEG - 13,000.00, DUPAGE COUNTY CHILDRENS - 3,500.00, DUPAGE COUNTY COLLECTOR - 8,983.58, DUPAGE COUNTY RECORDER - 4,314.00, </w:t>
      </w:r>
      <w:r w:rsidR="00D60B70">
        <w:rPr>
          <w:sz w:val="20"/>
          <w:szCs w:val="20"/>
        </w:rPr>
        <w:t xml:space="preserve">DUPAGE CREDIT UNION – 135,670.32, </w:t>
      </w:r>
      <w:r w:rsidRPr="00B07F47">
        <w:rPr>
          <w:sz w:val="20"/>
          <w:szCs w:val="20"/>
        </w:rPr>
        <w:t xml:space="preserve">DUPAGE MAYORS &amp; MANAGERS - 12,965.03, DUPAGE WATER COMMISSION - 2,959,115.37, EAGLE UNIFORMS INC - 5,062.52, EARTH, INC - 9,840.00, EBSCO ACCOUNTS RECEIVABLE - 19,667.78, ERM - 12,034.86, ERNGEE LLC - 3,000.00, ERNIE LOBERG CONSTRUCTION - 10,991.00, EXELON ENGERY INC - 61,222.35, F L HUNTER &amp; ASSOC INC - 4,710.00, FACILITY SOLUTIONS GROUP - 20,830.00, FEDERAL SIGNAL CORP - 7,505.00, FIAT - 3,500.00, FIRE GROUND SUPPLY - 5,346.00, FIRE PROTECTION COMPANY - 2,940.00, FIRE SAFETY CONSULTANTS - 6,688.60, FIRESTONE STORES - 6,348.60, FIRST COMMUNICATIONS - 16,824.61, FIRST FENCE - 2,720.00, FITCH, INC. - 13,000.00, FLEET PRIDE - 4,071.80, </w:t>
      </w:r>
      <w:r w:rsidRPr="009105EA">
        <w:rPr>
          <w:sz w:val="20"/>
          <w:szCs w:val="20"/>
        </w:rPr>
        <w:t>FOSTER &amp; FOSTER, INC.</w:t>
      </w:r>
      <w:r>
        <w:rPr>
          <w:sz w:val="20"/>
          <w:szCs w:val="20"/>
        </w:rPr>
        <w:t xml:space="preserve"> – 3,200, </w:t>
      </w:r>
      <w:r w:rsidRPr="00B07F47">
        <w:rPr>
          <w:sz w:val="20"/>
          <w:szCs w:val="20"/>
        </w:rPr>
        <w:t xml:space="preserve">FRED GLINKE PLUMBING AND - 3,254.00, FRYZEL, ANNETTE &amp; SCOTT - 3,000.00, FULLERS HOME &amp; HARDWARE - 10,729.18, FULLERS SERVICE CENTER IN - 3,838.95, G3 CONSTRUCTION </w:t>
      </w:r>
      <w:r>
        <w:rPr>
          <w:sz w:val="20"/>
          <w:szCs w:val="20"/>
        </w:rPr>
        <w:t>G</w:t>
      </w:r>
      <w:r w:rsidRPr="00B07F47">
        <w:rPr>
          <w:sz w:val="20"/>
          <w:szCs w:val="20"/>
        </w:rPr>
        <w:t xml:space="preserve">ROUP - 4,750.00, GALE - 11,675.92, GALLS AN  ARAMARK COMPANY - 12,212.03, GARBER CONSTRUCTION - 3,000.00, GASVODA - 2,967.30, GATEWAY SRA - 68,099.64, GENCO CLEANING SERVICES - 6,837.05, GHABEN, JOSEPH - 13,000.00, GHOUSE, MOHAMMED - 4,504.00, GIANARES, LIZA &amp; JEFFREY - 13,000.00, GLOBAL COM INC. - 13,199.18, </w:t>
      </w:r>
      <w:r w:rsidRPr="009105EA">
        <w:rPr>
          <w:sz w:val="20"/>
          <w:szCs w:val="20"/>
        </w:rPr>
        <w:t>GOLDSTEIN &amp; ASSOCIATES</w:t>
      </w:r>
      <w:r>
        <w:rPr>
          <w:sz w:val="20"/>
          <w:szCs w:val="20"/>
        </w:rPr>
        <w:t xml:space="preserve"> – 4,000, </w:t>
      </w:r>
      <w:r w:rsidRPr="00B07F47">
        <w:rPr>
          <w:sz w:val="20"/>
          <w:szCs w:val="20"/>
        </w:rPr>
        <w:t>GRAINGER, INC. - 7,942.31, GRAPHIC TICKETS &amp; SYSTEMS - 2,729.65, GREEN GRASS INC - 3,500.00, GROPPI, MICHAEL - 3,650.00, HACIENDA LANDSCAPING - 52,698.00, HAMBLET JR, MICHAEL - 3,000.00, HAMMAR, JAMES &amp; STEPHANIE - 13,000.00, HANSON AGGREGATES INC</w:t>
      </w:r>
      <w:r w:rsidR="00D60B70">
        <w:rPr>
          <w:sz w:val="20"/>
          <w:szCs w:val="20"/>
        </w:rPr>
        <w:t xml:space="preserve"> - 10,690.25, HAO CHANG/WEI </w:t>
      </w:r>
      <w:r w:rsidRPr="00B07F47">
        <w:rPr>
          <w:sz w:val="20"/>
          <w:szCs w:val="20"/>
        </w:rPr>
        <w:t>JIANG - 13,000.00, HAWKINS, INC. - 22,337.15, HD SUPPLY WATERWORKS - 65,950.33, HENDRIX, RONALD - 6,117.00, HENRY PRATT COMPANY - 8,020.63, HIIZENGA, PETER H - 3,000.00, HINSDALE BANK &amp; TRUST - 232,177.29, HINSDALE CHAMBER OF COMME - 11,481.00, HINSDALE NURSERIES, INC. - 4,678.10, HOME DEPOT CREDIT SERVICE - 8,154.19, HOME PRIDE SERVICES, INC. - 4,005.00, HOMECRAFTERS - 20,478.00, HOVING PIT STOP - 3,525.57, HR GREEN INC - 249,246.19, HUFF &amp; HUFF INC - 7,899.02, HUIZENGA, PETER H - 10,000.00, HYDRO VISION TECHNOLOGY L - 36,528.89,</w:t>
      </w:r>
      <w:r w:rsidR="00D60B70">
        <w:rPr>
          <w:sz w:val="20"/>
          <w:szCs w:val="20"/>
        </w:rPr>
        <w:t xml:space="preserve"> ICMA – 354,189.01, </w:t>
      </w:r>
      <w:r w:rsidRPr="00B07F47">
        <w:rPr>
          <w:sz w:val="20"/>
          <w:szCs w:val="20"/>
        </w:rPr>
        <w:t xml:space="preserve">I.U.O.E.LOCAL 150 - 8,270.62, </w:t>
      </w:r>
      <w:r w:rsidR="00D60B70">
        <w:rPr>
          <w:sz w:val="20"/>
          <w:szCs w:val="20"/>
        </w:rPr>
        <w:t xml:space="preserve">ILLINOIS DEPARTMENT OF REVENUE – 463,592.80, </w:t>
      </w:r>
      <w:r w:rsidRPr="00B07F47">
        <w:rPr>
          <w:sz w:val="20"/>
          <w:szCs w:val="20"/>
        </w:rPr>
        <w:t>ILLINOIS ENVIRONMENTAL - 25,736.86, ILLINOIS EPA - 6,000.00, ILLINOIS FRATERNAL ORDER - 8,514.00, ILLINOIS GIRLS LACROSSE - 25,539.00, ILLINOIS LIBRARY ASSOCIAT</w:t>
      </w:r>
      <w:r>
        <w:rPr>
          <w:sz w:val="20"/>
          <w:szCs w:val="20"/>
        </w:rPr>
        <w:t>ION</w:t>
      </w:r>
      <w:r w:rsidRPr="00B07F47">
        <w:rPr>
          <w:sz w:val="20"/>
          <w:szCs w:val="20"/>
        </w:rPr>
        <w:t xml:space="preserve"> - 2,510.00, </w:t>
      </w:r>
      <w:r w:rsidR="00D60B70">
        <w:rPr>
          <w:sz w:val="20"/>
          <w:szCs w:val="20"/>
        </w:rPr>
        <w:t xml:space="preserve">ILLINOIS MUNICIPAL RETIREMENT FUND – 903,266.88, </w:t>
      </w:r>
      <w:r w:rsidRPr="00B07F47">
        <w:rPr>
          <w:sz w:val="20"/>
          <w:szCs w:val="20"/>
        </w:rPr>
        <w:t xml:space="preserve">ILLINOIS PAPER DIVISION - 3,585.00, ILLINOIS SHOTOKAN KARATE - 12,909.60, </w:t>
      </w:r>
      <w:r w:rsidRPr="009105EA">
        <w:rPr>
          <w:sz w:val="20"/>
          <w:szCs w:val="20"/>
        </w:rPr>
        <w:t>ILLINOIS STATE TREASURER</w:t>
      </w:r>
      <w:r>
        <w:rPr>
          <w:sz w:val="20"/>
          <w:szCs w:val="20"/>
        </w:rPr>
        <w:t xml:space="preserve"> – 6,775.07, </w:t>
      </w:r>
      <w:r w:rsidRPr="00B07F47">
        <w:rPr>
          <w:sz w:val="20"/>
          <w:szCs w:val="20"/>
        </w:rPr>
        <w:t xml:space="preserve">IMAGE MASTER - 3,500.10, INDUSTRIAL ELECTRIC - 8,884.94, INDUSTRIAL SYSTEMS, LTD - 3,540.90, INFOGROUP - 5,520.00, INFORMATION DEVELOPMENT - 66,818.13, INGRAM - 7,698.37, INLAND POWER GROUP - 2,899.08, INNOVATION EXPERTS - 4,797.00, </w:t>
      </w:r>
      <w:r>
        <w:rPr>
          <w:sz w:val="20"/>
          <w:szCs w:val="20"/>
        </w:rPr>
        <w:t xml:space="preserve">INSPE ASSOCIATES, LTD – 3,237.00, </w:t>
      </w:r>
      <w:r w:rsidRPr="00B07F47">
        <w:rPr>
          <w:sz w:val="20"/>
          <w:szCs w:val="20"/>
        </w:rPr>
        <w:t xml:space="preserve">INSTITUTE IN BASIC LIFE - 13,020.44, INTERIOR INVESTMENTS, LLC - 5982.49, </w:t>
      </w:r>
      <w:r w:rsidR="00D60B70">
        <w:rPr>
          <w:sz w:val="20"/>
          <w:szCs w:val="20"/>
        </w:rPr>
        <w:t>INTERNAL REVENUE SERVICE – 2,</w:t>
      </w:r>
      <w:r w:rsidR="00540C0D">
        <w:rPr>
          <w:sz w:val="20"/>
          <w:szCs w:val="20"/>
        </w:rPr>
        <w:t>175,998.71</w:t>
      </w:r>
      <w:r w:rsidR="00D60B70">
        <w:rPr>
          <w:sz w:val="20"/>
          <w:szCs w:val="20"/>
        </w:rPr>
        <w:t xml:space="preserve">, </w:t>
      </w:r>
      <w:r w:rsidRPr="00B07F47">
        <w:rPr>
          <w:sz w:val="20"/>
          <w:szCs w:val="20"/>
        </w:rPr>
        <w:t xml:space="preserve">INTERNATIONAL EXTERMINATO - 3,278.35, </w:t>
      </w:r>
      <w:r w:rsidR="00D60B70">
        <w:rPr>
          <w:sz w:val="20"/>
          <w:szCs w:val="20"/>
        </w:rPr>
        <w:t xml:space="preserve">IPBC – 1,926,270.82, </w:t>
      </w:r>
      <w:r w:rsidRPr="00B07F47">
        <w:rPr>
          <w:sz w:val="20"/>
          <w:szCs w:val="20"/>
        </w:rPr>
        <w:t xml:space="preserve">IPELRA - 3,080.00, </w:t>
      </w:r>
      <w:r>
        <w:rPr>
          <w:sz w:val="20"/>
          <w:szCs w:val="20"/>
        </w:rPr>
        <w:t xml:space="preserve">IPPFA – 3,050.00, </w:t>
      </w:r>
      <w:r w:rsidRPr="00B07F47">
        <w:rPr>
          <w:sz w:val="20"/>
          <w:szCs w:val="20"/>
        </w:rPr>
        <w:t xml:space="preserve">IRMA - 427,100.07, IVES, DANIEL &amp; JOY - 3,010.00, J JORDAN HOMES - 11,340.00, J JORDAN HOMES LLC - 22,644.00, JAMES J BENES &amp; ASSOC INC - 320,235.70, JAN C MOL &amp; ASSOCIATES - 3,453.00, JOHN DEERE LANDSCAPES - 2,572.07, JOHN NERI CONSTRUCTION IN - 4,089,833.19, JOHN YELNICK CONSTRUCTION - 3,850.00, JULIE INC - 5,834.92, KALEIDOSCOPE CHILDRENS - 13,320.35, KANG, HYUNGMIN &amp; DENYS - 3,000.00, KAY JAY CONSTRUCTION - 6,200.00, KELLER HEARTT CO INC - 2,676.10, KENNA BUILDERS - 25,614.00, KH KIMS TAE KWON DO - 11,500.50, KIEFT BROS INC - 4,330.17, KING, HYUNGMIN - 10,000.00, KINGS LANDSCAPING CO - 3,500.00, KLEIN,THORPE,JENKINS LTD - 119,604.75, KONICA MINOLTA - 4,016.76, KRAMER WINDOW CO - 30,799.00, KRASUSKI, JACK &amp; MONIKA - 5,658.00, KROESCHELL ENGINEERING CO - 25,039.70, KUO, JAMES - 8,470.00, L3 COMMUNICATIONS - 6,299.45, LANDMARK FORD, INC - 19,650.00, LANDSCAPE CONCEPTS MNGEMT - 134,995.50, LARSON, BRUCE - 13,000.00, </w:t>
      </w:r>
      <w:r>
        <w:rPr>
          <w:sz w:val="20"/>
          <w:szCs w:val="20"/>
        </w:rPr>
        <w:t xml:space="preserve">LAUTERBACH &amp; AMEN, LLP – 32,210.00, </w:t>
      </w:r>
      <w:r w:rsidRPr="00B07F47">
        <w:rPr>
          <w:sz w:val="20"/>
          <w:szCs w:val="20"/>
        </w:rPr>
        <w:t xml:space="preserve">LAW ENFORCEMENT TRAINING - 2,500.00, LAYNE CHRISTENSEN CO - 53,793.00, LEADS ONLINE - 2,848.00, LEOPARDO COMPANIES, INC. - 19,863.80, LEVEL YOGA LLC - 10,000.00, LIFEGUARD STORE - 11,091.40, LIGHTING SOLUTIONS OF IL - 4,235.68, LOVITT AND SONS INC - 3,622.63, LOWERY BUILDERS - 7,150.00, LWD INCINERATOR SITE T/FD - 2,500.00, LYNCH, CAROLYN - 6,000.00, LYONS &amp; PINNER ELECTRIC - 4,897.00, M E SIMPSON CO INC - 8,045.00, MABAS DIV 10 TRAINING - 4,750.00, MAKDAH, GEORGE - 13,000.00, MALCHOW, ERIC &amp; DENNIS - 3,000.00, MALCHOW, ERIC &amp; PAMELA - 10,000.00, MANGANIELLO, JIM - 18,149.78, MARATHON SPORTSWEAR - 3,275.21, MARTAM CONSTRUCTION INC - 1,692,718.52, MARY JO WANGELIN - 3,000.00, MARY JO WANGELIN TRUST - 10,000.00, MATHEWS CUSTOM HOMES - 2,800.00, MATTHIES BUILDERS - 13,000.00, MAX WELDING INC - 3,080.00, MCALLISTER EQUIPMENT - 3,717.13, MCCLEARY, THOMAS </w:t>
      </w:r>
      <w:r w:rsidRPr="00B07F47">
        <w:rPr>
          <w:sz w:val="20"/>
          <w:szCs w:val="20"/>
        </w:rPr>
        <w:lastRenderedPageBreak/>
        <w:t xml:space="preserve">SEAN - 4,732.00, MDG BUILDERS INC - 13,000.00, </w:t>
      </w:r>
      <w:r w:rsidR="00D60B70">
        <w:rPr>
          <w:sz w:val="20"/>
          <w:szCs w:val="20"/>
        </w:rPr>
        <w:t xml:space="preserve">MELLON TRUST OF NEW ENGLAND – 64,989.96, </w:t>
      </w:r>
      <w:r w:rsidRPr="00B07F47">
        <w:rPr>
          <w:sz w:val="20"/>
          <w:szCs w:val="20"/>
        </w:rPr>
        <w:t xml:space="preserve">MERSHON, DONALD - 3,000.00, METROCOUNT INC - 4,434.00, MIDCO - 80,541.16, MIDWEST AIR PRO - 4,325.00, MIDWEST TAPE - 21,110.60, MIHAELA CATARAMA - 14,287.00, MIKOLS CONSTRUCTION - 7,067.00, MIKOLS CONSTRUCTION INC - 13,000.00, MINER ELECTRONICS - 3,958.08, MOORE, JEFF - 10,650.00, </w:t>
      </w:r>
      <w:r>
        <w:rPr>
          <w:sz w:val="20"/>
          <w:szCs w:val="20"/>
        </w:rPr>
        <w:t xml:space="preserve">MORGAN STANLEY SMITH BARNEY LLC – 52,350.41, </w:t>
      </w:r>
      <w:r w:rsidRPr="00B07F47">
        <w:rPr>
          <w:sz w:val="20"/>
          <w:szCs w:val="20"/>
        </w:rPr>
        <w:t xml:space="preserve">MORNINGSTAR - 2,904.00, MORROW BROTHERS FORD INC - 31,414.00, MORTENSON ROOFING CO - 3,123.00, MORTON SALT INC - 43,609.13, MOTIVE PARTS CO FMP - 5,080.30, MOTOROLA - 13,693.80, MOTOROLA INC - 16,016.82, MUNICIPAL WELL &amp; PUMP INC - 60,953.00, MWRDGC - 6,169.40, NAPA AUTO PARTS - 6,801.28, NATIONWIDE RETIREMENT SOL - 53,786.39, NATIONWIDE TRUST CO.FSB - 159,701.86, NCPERS GRP LIFE INS#3105 - 3,216.00, NELS J JOHNSON TREE EXPT - 7,263.00, NELSON DESIGN ASSOCIATES - 5,000.00, NEWLIN, NICHOLAS - 13,000.00, NEXTEL/SPRINT - 33,247.56, NICOR GAS - 16,183.65, NORMANDY BUILDERS - 9,750.00, NORTH EAST MULTI-REGIONAL - 3,240.00, NORTHERN IL POLICE ALARM - 3,880.23, NORTHERN TOOL &amp; EQUIPMENT - 3,426.97, OAK BROOK MECHANICAL - 28,817.89, OAK STREET MANAGEMENT - 12,782.00, OAKLEY HOME BUILDERS - 18,522.00, OCCUPATIONAL HEALTH CTR - 2,616.00, OLEARYS CONTRACTORS EQU - 2,774.00, </w:t>
      </w:r>
      <w:r w:rsidRPr="008C45F3">
        <w:rPr>
          <w:sz w:val="20"/>
          <w:szCs w:val="20"/>
        </w:rPr>
        <w:t xml:space="preserve">OTTOSEN BRITZ KELLY COOPER GILBERT </w:t>
      </w:r>
      <w:r>
        <w:rPr>
          <w:sz w:val="20"/>
          <w:szCs w:val="20"/>
        </w:rPr>
        <w:t xml:space="preserve">– 12,515.00, </w:t>
      </w:r>
      <w:r w:rsidRPr="00B07F47">
        <w:rPr>
          <w:sz w:val="20"/>
          <w:szCs w:val="20"/>
        </w:rPr>
        <w:t xml:space="preserve">OVERDRIVE, INC. </w:t>
      </w:r>
      <w:r>
        <w:rPr>
          <w:sz w:val="20"/>
          <w:szCs w:val="20"/>
        </w:rPr>
        <w:t>–</w:t>
      </w:r>
      <w:r w:rsidRPr="00B07F47">
        <w:rPr>
          <w:sz w:val="20"/>
          <w:szCs w:val="20"/>
        </w:rPr>
        <w:t xml:space="preserve"> </w:t>
      </w:r>
      <w:r>
        <w:rPr>
          <w:sz w:val="20"/>
          <w:szCs w:val="20"/>
        </w:rPr>
        <w:t>8,000</w:t>
      </w:r>
      <w:r w:rsidRPr="00B07F47">
        <w:rPr>
          <w:sz w:val="20"/>
          <w:szCs w:val="20"/>
        </w:rPr>
        <w:t xml:space="preserve">.00, PAINTERS USA INC - 78,110.00, PARKREATION INC - 9,540.00, PATHMANN CONSTRUCTION - 9,182.17, PAUL CONWAY SHIELDS - 2,505.09, PEREGRINE, STIME, NEWMAN - 3,964.67, PERSONNEL STRATEGIES LLC - 7,825.00, PHILLIPS ELECTRIC - 16,668.00, PIECZYNSKI, LINDA - 17,112.00, PIRRERA, CHRISTOPHER - 13,000.00, PIRTANO - 5,493,684.72, PISCHKE, ROBERT - 4,425.00, PLATINUM AQUA TECH LTD - 7,000.00, PLAY WELL TEKNOLOGIES - 12,504.00, PNC EQUIPMENT FINANCE - 6,600.00, POMPS TIRE SERVICE, INC. - 3,097.15, PREMIER LANDSCAPE - 8,500.00, PRODUCT, LLC. - 20,019.94, PROLIANCE ENERGY, LLC - 41,453.19, PROQUEST LLC - 24,301.00, PROVEN BUSINESS SYSTEMS - 6,233.78, PRZYBYLSKI, GERALD - 3,000.00, PUGSLEY &amp; LAHAIE LTD 2003 - 14,295.00, QUARRY MATERIALS, INC. - 54,391.93, QUICK, ERIC &amp; ADRIANA - 13,841.00, QUICK, ROGER - 6,675.00, RAINBOW FARMS ENTERPRISES - 7,020.00, RANDALL CROAK - 5,755.00, RAY OHERRON CO INC - 3,175.81, RECORDED BOOKS - 8,417.41, REEGS PROPERTIES - 3,000.00, RELIABLE FIRE EQUIPMENT C - 3,173.45, REMPE SHARPE &amp; ASSOCIATES - 183,043.70, RENEGADES BASEBALL - 3,970.00, REPRODUCTION CONSULTANTS - 7,535.60, RICCIO CONSTRUCTION CORP. - 9,900.00, RIORDAN SIGNATURE HOMES - 26,328.00, RMC IMAGING, INC. - 7,669.00, ROBBINS SCHWARTZ NICHOLA - 5,265.03, ROCKWELL TRUST - 4,188.00, ROMEOVILLE FIRE ACADEMY - 5,070.00, ROSENBAUER MINNESOTA LLC - 4,520.59, ROSS PROPERTY INC - 13,000.00, ROXAS, JOHN - 4,510.00, ROY BOYD GALLERY - 9,600.00, RUNNING, ANDREW &amp; LAURA - 2,900.00, RYDIN SIGN &amp; DECAL - 5,878.97, SAMS CLUB #6384 - 10,059.21, SAVATREE - 10,946.00, SCHEFLOW ENGINEERS INC - 3,000.00, SCHOLASTIC INC - 3,525.98, SCHOLASTIC LIBRARY PUBLIS - 2,545.67, SERVICE FORMS &amp; GRAPHICS - 11,660.40, SERVICE PLUS, INC. - 13,924.80, SHARPE TIMOTHY W - 14,200.00, SHEPHERD, BRENT - 19,436.75, SHERWIN INDUSTRIES, INC - 8,441.47, SIKICH , LLP - 29,147.00, SKOKNA, NICK - 5,150.00, SKYHAWKS SPORT ACADEMY IN - 16,912.50, SOCCER MADE IN AMERICA - 2,821.00, SOUTHWEST CENTRAL DISPATCH - 313,079.14, SPEER FINANCIAL INC - 42,697.67, SPORTS R US - 14,258.00, SPROVIERI, ROSS - 3,000.00, STANDARD &amp; POORS - 24,176.50, STAPLES ADVANTAGE - 6,137.28, STARFISH AQUATICS INSTITU - 8,581.56, STATE DISBURSEMENT UNIT - 73,921.00, STEPP EQUIPMENT COMPANY - 2,970.00, STERLING CODIFIERS INC - 2,936.00,  STIFFLEAR, LUKE - 8,000.00, STOMPER, SCOTT - 4,525.00, STREICHERS - 3,440.00, STRYKER SALES CORP - 13,484.00, SUBURBAN DOOR CHECK - 4,447.08, SUBURBAN LABORATORIES, IN - 11,671.00, SUTTON, WILLIAM - 3,000.00, SWAN - 36,929.30, SWCD 911 - 33,800.00, T-2 SYSTEMS INC - 17,790.50, T.E.I. LANDMARK AUDIO - 3,083.75, TAN, FRANKLIN - 7,000.00, TASER INTERNATIONAL - 12,655.14, THE HINSDALEAN - 30,157.10, THE SIGN PLACE INC - 3,330.00, THIRD MILLENIUM - 20,583.81, THOMAS HOMES - 3,352.00, TIBURON HOMES - 3,000.00, TNT CONCRETE CONST INC - 33,060.00, TODAYS BUSINESS SOLUTION - 2,833.75, TOTAL PARKING SOLUTIONS - 11,332.08, TPI BLDG CODE CONSULTANT - 54,558.65, TRAFFIC CONTROL &amp; PROTECT - 11,805.68, TREASURER, STATE OF ILL - 127,005.80, TRIBE, MICHAEL - 5,694.00, TRUGREEN-CHEMLAWN - 11,620.58, TULLIS CONSTRUCTION - 3,500.00, TURNER, DANIEL - 13,000.00, TWIN LAKE GREENHOUSE LLC - 7,059.86, TWIN OAKS LANDSCAPING INC - 61,745.40, TWIXWOOD NURSERY LLC - 2,524.82, TYCO INTEGRATED SECURITY - 3,368.54, TYSON INTEGRATED SECURITY - 5,009.50, U.S. POSTAL SERVICE - 4,000.00, UNITED STATES POSTAL SVC - 25,771.00, UNUM LIFE INSURANCE CO - 4,713.60, VAFCON INC - 4,400.00, VALUE LINE PUBLISHING LLC - 4,562.00, VANDENBERG BULB CO INC - 4,383.00, VERIZON WIRELESS - 6,541.65, VERMONT SYSTEMS, INC. - 4,696.14, VILLAGE OF CLARENDON HILL - 4,513.65, VILLAGE OF HINSDALE </w:t>
      </w:r>
      <w:r>
        <w:rPr>
          <w:sz w:val="20"/>
          <w:szCs w:val="20"/>
        </w:rPr>
        <w:t>–</w:t>
      </w:r>
      <w:r w:rsidRPr="00B07F47">
        <w:rPr>
          <w:sz w:val="20"/>
          <w:szCs w:val="20"/>
        </w:rPr>
        <w:t xml:space="preserve"> </w:t>
      </w:r>
      <w:r>
        <w:rPr>
          <w:sz w:val="20"/>
          <w:szCs w:val="20"/>
        </w:rPr>
        <w:t>110,536.70</w:t>
      </w:r>
      <w:r w:rsidRPr="00B07F47">
        <w:rPr>
          <w:sz w:val="20"/>
          <w:szCs w:val="20"/>
        </w:rPr>
        <w:t xml:space="preserve">, VISOGRAPHIC INC - 9,752.17, VOYAGER DIRECT - 3,269.50, W H MC NAUGHTON BLDRS - 16,915.00, WALKER, GORDON - 5,000.00, WAREHOUSE DIRECT INC - 35,470.48, WARREN OIL COMPANY - 273,125.84, WATER SERVICES CO - 8,200.00, </w:t>
      </w:r>
      <w:r w:rsidRPr="008C45F3">
        <w:rPr>
          <w:sz w:val="20"/>
          <w:szCs w:val="20"/>
        </w:rPr>
        <w:t>WEAVER BARKSDALE &amp; ASSOCIATES, INC</w:t>
      </w:r>
      <w:r>
        <w:rPr>
          <w:sz w:val="20"/>
          <w:szCs w:val="20"/>
        </w:rPr>
        <w:t xml:space="preserve"> – 8,758.96, </w:t>
      </w:r>
      <w:r w:rsidRPr="00B07F47">
        <w:rPr>
          <w:sz w:val="20"/>
          <w:szCs w:val="20"/>
        </w:rPr>
        <w:t xml:space="preserve">WEB QA INC - 8,100.00,  WEDDING GUIDE - 3,838.89, </w:t>
      </w:r>
      <w:r w:rsidRPr="008C45F3">
        <w:rPr>
          <w:sz w:val="20"/>
          <w:szCs w:val="20"/>
        </w:rPr>
        <w:t>WELLS FARGO ADVISORS LLC</w:t>
      </w:r>
      <w:r>
        <w:rPr>
          <w:sz w:val="20"/>
          <w:szCs w:val="20"/>
        </w:rPr>
        <w:t xml:space="preserve"> – 11,658.63, </w:t>
      </w:r>
      <w:r w:rsidRPr="00B07F47">
        <w:rPr>
          <w:sz w:val="20"/>
          <w:szCs w:val="20"/>
        </w:rPr>
        <w:t>WEST CENTRAL MUNICIPAL - 12,159.00, WESTERN IRRIGATION - 3,528.00, WHEELER KEARNS ARCHITECTS - 2,961.00, WHOLE FOODS MARKET - 10,000.00, WILLIAMS, SUSAN - 5,921.40, WILLMAN - 3,811.30, WILLOWBROOK FORD INC - 5,278.20, WINKLERS TREE SERVICE IN - 8,675.25, WIRFS INDUSTRIES, INC. - 18,046.33, WOO CHANG KIM - 10,400.00, WOOD, CARY - 13,000.00, XEROX CORPORATION - 9,622.00, ZESCO - 12,171.64, ZIEBELL WATER SERVICE - 46,179.36, ZOLL MEDICAL CORP - 54,232.98,</w:t>
      </w:r>
      <w:r>
        <w:t xml:space="preserve"> </w:t>
      </w:r>
      <w:r w:rsidRPr="00466AB1">
        <w:rPr>
          <w:b/>
          <w:sz w:val="20"/>
          <w:szCs w:val="20"/>
        </w:rPr>
        <w:t xml:space="preserve">TOTAL VENDOR DISBURSEMENTS OVER $2,500: </w:t>
      </w:r>
      <w:r w:rsidRPr="00E25077">
        <w:rPr>
          <w:b/>
          <w:sz w:val="20"/>
          <w:szCs w:val="20"/>
        </w:rPr>
        <w:t>$</w:t>
      </w:r>
      <w:r w:rsidR="00D60B70">
        <w:rPr>
          <w:b/>
          <w:sz w:val="20"/>
          <w:szCs w:val="20"/>
        </w:rPr>
        <w:t>30,428,733.77</w:t>
      </w:r>
      <w:r w:rsidRPr="00466AB1">
        <w:rPr>
          <w:b/>
          <w:sz w:val="20"/>
          <w:szCs w:val="20"/>
        </w:rPr>
        <w:t>, TOTAL VENDOR DISBURSEMENTS $2,500.00 OR LESS:  $</w:t>
      </w:r>
      <w:r>
        <w:rPr>
          <w:b/>
          <w:sz w:val="20"/>
          <w:szCs w:val="20"/>
        </w:rPr>
        <w:t>718,356.40</w:t>
      </w:r>
    </w:p>
    <w:p w:rsidR="00FB35C2" w:rsidRPr="00D10256" w:rsidRDefault="00FB35C2" w:rsidP="00FB35C2">
      <w:pPr>
        <w:jc w:val="both"/>
        <w:rPr>
          <w:sz w:val="20"/>
          <w:szCs w:val="20"/>
        </w:rPr>
      </w:pPr>
      <w:r w:rsidRPr="00D10256">
        <w:rPr>
          <w:b/>
          <w:sz w:val="20"/>
          <w:szCs w:val="20"/>
        </w:rPr>
        <w:t>SALARY RANGE 0 to 25,000,</w:t>
      </w:r>
      <w:r>
        <w:rPr>
          <w:b/>
          <w:sz w:val="20"/>
          <w:szCs w:val="20"/>
        </w:rPr>
        <w:t xml:space="preserve"> </w:t>
      </w:r>
      <w:r w:rsidRPr="00D10256">
        <w:rPr>
          <w:sz w:val="20"/>
          <w:szCs w:val="20"/>
        </w:rPr>
        <w:t>F. ANDERSON, N. ANETSBERGER,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ANTONIOU,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ARMARIO,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AUGUSTYN,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BAKER,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BANKE,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BAUER,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BAXTER,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BAUMGARTEN, K. BERGLES,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BEUSSE,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BEYER,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BITTMAN III,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BLAKE,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BOCEK, K. BONYKO,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BOS,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BRENNAN,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BROOKS,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BUCCIERI,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BUDDIG,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BUSH-JOSEPH,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CAMDEN,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CARLSON,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CHIKO,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CHRISTOPH,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J.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CIESLA,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CLAUSSEN,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CONKLIN,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CONNOR,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DALY,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DAVEY,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DAVIS,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DAVIS,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DEGEER,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DIAZ,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DRISCOLL,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DRISCOLL,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DUROV,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ENGELKING,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FISHBEIN,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FLYNN,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FRANZ,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FREDA,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GAY,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GAY,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GEUSS,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V. GIARDINO,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GOLDSTEIN,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V. GOZDECKI,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GRASSO,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GUINAN,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GUNDICH,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GUTMAN,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GUTMAN,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HAAKE,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HALIK,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HALL,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HANNEMANN,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HARTNETT,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HARVEY,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HATCH,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HAYES,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D. HERMES,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HOLECEK,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HOPKINS,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HOULIHAN,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HUEBNER,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JEFFERS,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P. JIRASEK,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JOHNSON,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KELLY,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KEMP,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H. KIANG,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KING</w:t>
      </w:r>
      <w:r>
        <w:rPr>
          <w:sz w:val="20"/>
          <w:szCs w:val="20"/>
        </w:rPr>
        <w:t xml:space="preserve">, </w:t>
      </w:r>
      <w:r w:rsidRPr="00D10256">
        <w:rPr>
          <w:sz w:val="20"/>
          <w:szCs w:val="20"/>
        </w:rPr>
        <w:t>K. KIRKENDALL,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KOZNAREK,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KRAWCZYKOWSKI,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KROUCH,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KROUGH,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L.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KUBIK,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KUCHTA,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KUCHTA,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KUNZE,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KUNZE,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KUNZE,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LATTNER,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LEGNER,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LENNOX,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LESS,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F. LIMON,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H. LIPLIN,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LLESHANAKU,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LLOYD,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LOBURGIO,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LOPRESTI,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LOPRESTI,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LORD,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MADON,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MADON,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MANDARINO, Z. MANTA,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MARIK,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MARIK,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MARRERO,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MARSCHALL,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MATTSON,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MC ELROY,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MCCLAIN,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MCFARLAND,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I. MCKENZIE,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MERANDA,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MERONEK,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I. MERTENS,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MEYER,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MEYER,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MEYER,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MICHALEK,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MILLER,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MILLER,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MITCHELL,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MORGAN,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MORRISON,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MUKHERJEE,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NATANEK,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NEVERS,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NOE,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O'DONNELL,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OLESZKIEWICZ,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PACHECO,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PAUL,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PECK,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PENN,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PEREZ,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H. PERINA,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PETERS,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PETERSEN,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PETROVIC,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PHELAN,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PIONTKOWKSI,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V. POTEMPA,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PRIEBE,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PRISBY,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PULLELA,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RAGAUSKAS,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RAPP,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RENEHAN,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RENSING,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RICHTER,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RICKELMAN,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ROBERTS,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 ROBERTS,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ROSAS,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RUSTHOVEN,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RYAN,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RYSAVY,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SAMARAS,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SAMARAS,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SCHICK,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SCHILLACI,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SCHMID,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SCHOO,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SELIGMANN,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SELIMOS,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SHARP,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SHAW,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SHENEMAN,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SIUDZINSKI,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I. SLONOFF,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J. SMITH,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SMURAWSKI,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SORCE,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SPINAZOLA,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STACHOWSKI,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STARON,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STEPHENS,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STEUCK,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STIRLING,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SWEENEY,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TABACZYK,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THOELCKE,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THOELCKE,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THOMPSON,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THOMPSON,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THORNTON,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TRAVIS,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O. TRILLA,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VALCARENGHI,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VALCARENGHI,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VALLERA,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VANDERBERG,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VANEK,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H. VERDON,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VON LOEWE,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VOSECKY,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WASHINGTON,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WILCOX,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WILLIAMS,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WILLIAMS,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WILLIAMS,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WITTWER,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WONG,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Z. XIA,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YEH,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ZANDELL,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ZOLEZZI,</w:t>
      </w:r>
      <w:r>
        <w:rPr>
          <w:sz w:val="20"/>
          <w:szCs w:val="20"/>
        </w:rPr>
        <w:t xml:space="preserve"> </w:t>
      </w:r>
      <w:r w:rsidRPr="00D10256">
        <w:rPr>
          <w:b/>
          <w:sz w:val="20"/>
          <w:szCs w:val="20"/>
        </w:rPr>
        <w:t>SALARY RANGE 25,000 to 50,000</w:t>
      </w:r>
      <w:r w:rsidRPr="00D102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BANASZAK,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BLAZEJEWSKI, R. BOLAND,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BORSA,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BRAUN,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R. CIRCO,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COLEMAN,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G. DURFOR, W. EBY,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FELBINGER, A. GRISENTHWAITE,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GROSSMAN,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HARTY,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HEINEM</w:t>
      </w:r>
      <w:r w:rsidR="008A7A32">
        <w:rPr>
          <w:sz w:val="20"/>
          <w:szCs w:val="20"/>
        </w:rPr>
        <w:t xml:space="preserve">ANN, P. HEINEMANN, R. HENSHAW, </w:t>
      </w:r>
      <w:r w:rsidRPr="00D10256">
        <w:rPr>
          <w:sz w:val="20"/>
          <w:szCs w:val="20"/>
        </w:rPr>
        <w:t>C. JOHNSON, K. KASPAR, M. KENNEDY,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KERINS, C. KOEHLER,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KOZAK, A. KUHN,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LINDEMANN,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MARTIN,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MCDONOUGH,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MERANDA,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MILLER, M. MUSCH, W. O'ROURKE, M. OETTING,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PERRY,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RAUEN,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N. RICHIE, 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SHAKER,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SICILIANO,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SIMON,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SPIEL, P. TULACKA, J. WARGEN, K. WEEKS, M. WILSON,</w:t>
      </w:r>
      <w:r>
        <w:rPr>
          <w:sz w:val="20"/>
          <w:szCs w:val="20"/>
        </w:rPr>
        <w:t xml:space="preserve"> </w:t>
      </w:r>
      <w:r w:rsidRPr="00D10256">
        <w:rPr>
          <w:b/>
          <w:sz w:val="20"/>
          <w:szCs w:val="20"/>
        </w:rPr>
        <w:t>SALARY RANGE 50,000 to 75,000,</w:t>
      </w:r>
      <w:r>
        <w:rPr>
          <w:b/>
          <w:sz w:val="20"/>
          <w:szCs w:val="20"/>
        </w:rPr>
        <w:t xml:space="preserve"> </w:t>
      </w:r>
      <w:r w:rsidRPr="00D10256">
        <w:rPr>
          <w:sz w:val="20"/>
          <w:szCs w:val="20"/>
        </w:rPr>
        <w:t>K. ANBACH,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ANDERSON,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BIRDSONG, R. BOSSERT,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BRUTON,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COPP,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ENSLEY,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EVANS, M. HABERKERN,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HENEHAN,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HETHERINGTON, M. HOGAN,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JOHNSON,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KASPER, E. KASPERSKI,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KRAFT JR., M. KUCIK,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LEWANDOWSKI,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MARIN,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N. MARVAN,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MEDINA,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MEJDRECH, S. MIKEL,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MILLER,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MILLER, R. NIKISCHER JR,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PETERSEN,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PHENEGAR,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SCHUSTERICH,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SEDLACEK,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SENER, J. SKIBBENS,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E. SMITH,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VERZANI,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WARREN,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WEBBER,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WILLIAMS,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 xml:space="preserve">W. ZAHALKA, </w:t>
      </w:r>
      <w:r w:rsidRPr="00D10256">
        <w:rPr>
          <w:b/>
          <w:sz w:val="20"/>
          <w:szCs w:val="20"/>
        </w:rPr>
        <w:t>SALARY RANGE 75,000 to 100,000</w:t>
      </w:r>
      <w:r w:rsidRPr="00D102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BAKER,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BULAT, W. CLAYBROOK,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COUGHLIN,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DIAZ,</w:t>
      </w:r>
      <w:r>
        <w:rPr>
          <w:sz w:val="20"/>
          <w:szCs w:val="20"/>
        </w:rPr>
        <w:t xml:space="preserve"> J. ECCARDT, </w:t>
      </w:r>
      <w:r w:rsidRPr="00D10256">
        <w:rPr>
          <w:sz w:val="20"/>
          <w:szCs w:val="20"/>
        </w:rPr>
        <w:t>J. FINNELL,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GASCOIGNE,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L. HAYES, JR,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HOLECEK,</w:t>
      </w:r>
      <w:r>
        <w:rPr>
          <w:sz w:val="20"/>
          <w:szCs w:val="20"/>
        </w:rPr>
        <w:t xml:space="preserve"> </w:t>
      </w:r>
      <w:r w:rsidR="008A7A32" w:rsidRPr="00D10256">
        <w:rPr>
          <w:sz w:val="20"/>
          <w:szCs w:val="20"/>
        </w:rPr>
        <w:t xml:space="preserve">F. HOMOLKA, JR., </w:t>
      </w:r>
      <w:r>
        <w:rPr>
          <w:sz w:val="20"/>
          <w:szCs w:val="20"/>
        </w:rPr>
        <w:t xml:space="preserve">R. HOOGSTRA, </w:t>
      </w:r>
      <w:r w:rsidRPr="00D10256">
        <w:rPr>
          <w:sz w:val="20"/>
          <w:szCs w:val="20"/>
        </w:rPr>
        <w:t>J. HUCKFELDT,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KELLY, P. KENNY, K. KOWAL,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KREFFT,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LAMBERT, C. LEUVER,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LILLIE  JR,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MAJEWSKI,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MC CARTHY III, T. MCCARTHY IV,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MIZENER,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NEVILLE,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NEWBERRY,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NICHOLS,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NIEMEYER,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W. O'ROURKE,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OSTROWSKI,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PATITUCCI,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PELKOWSKI,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PIONTKOWSKI,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PISCIOTTO,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RYAN,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SCHABERG,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SCOTT,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SMITH,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TULLIS,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WASHBURN,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R. ZOBJECK, JR,</w:t>
      </w:r>
      <w:r>
        <w:rPr>
          <w:sz w:val="20"/>
          <w:szCs w:val="20"/>
        </w:rPr>
        <w:t xml:space="preserve"> </w:t>
      </w:r>
      <w:r w:rsidRPr="00D10256">
        <w:rPr>
          <w:b/>
          <w:sz w:val="20"/>
          <w:szCs w:val="20"/>
        </w:rPr>
        <w:t>SALARY RANGE 100,000 to 125,000,</w:t>
      </w:r>
      <w:r>
        <w:rPr>
          <w:b/>
          <w:sz w:val="20"/>
          <w:szCs w:val="20"/>
        </w:rPr>
        <w:t xml:space="preserve"> </w:t>
      </w:r>
      <w:r w:rsidRPr="00D10256">
        <w:rPr>
          <w:sz w:val="20"/>
          <w:szCs w:val="20"/>
        </w:rPr>
        <w:t>E. BERNHOLDT,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BUESER,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CARLSON,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S. COGGER,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DAVENPORT,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DE WOLF,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DEETER,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J. GIANNELLI,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HASSETT,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P. JIRASEK,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C. JOHNSON, M. KARBAN,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KEEFE,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KELLER,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LAMB, T. LENNOX, A. MARAVIGLIA, T. MC ELROY, R. MCGINNIS, R. RONOVSKY, S. RUBAN, K. SIMPSON, K. SUSMARSKI,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K. VOTAVA,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M. WODKA,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T. YEHL,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A. ZIEMER,</w:t>
      </w:r>
      <w:r>
        <w:rPr>
          <w:sz w:val="20"/>
          <w:szCs w:val="20"/>
        </w:rPr>
        <w:t xml:space="preserve"> </w:t>
      </w:r>
      <w:r w:rsidRPr="00D10256">
        <w:rPr>
          <w:b/>
          <w:sz w:val="20"/>
          <w:szCs w:val="20"/>
        </w:rPr>
        <w:t>SALARY RANGE 125,000 AND UP,</w:t>
      </w:r>
      <w:r>
        <w:rPr>
          <w:b/>
          <w:sz w:val="20"/>
          <w:szCs w:val="20"/>
        </w:rPr>
        <w:t xml:space="preserve"> </w:t>
      </w:r>
      <w:r w:rsidRPr="00D10256">
        <w:rPr>
          <w:sz w:val="20"/>
          <w:szCs w:val="20"/>
        </w:rPr>
        <w:t>B. BLOOM,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COOK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G. FRANCO,</w:t>
      </w:r>
      <w:r>
        <w:rPr>
          <w:sz w:val="20"/>
          <w:szCs w:val="20"/>
        </w:rPr>
        <w:t xml:space="preserve"> </w:t>
      </w:r>
      <w:r w:rsidRPr="00D10256">
        <w:rPr>
          <w:sz w:val="20"/>
          <w:szCs w:val="20"/>
        </w:rPr>
        <w:t>D. LANGLOIS,</w:t>
      </w:r>
      <w:r>
        <w:rPr>
          <w:sz w:val="20"/>
          <w:szCs w:val="20"/>
        </w:rPr>
        <w:t xml:space="preserve"> M. MANDARINO</w:t>
      </w:r>
    </w:p>
    <w:p w:rsidR="00FB35C2" w:rsidRDefault="00FB35C2" w:rsidP="00FB35C2">
      <w:pPr>
        <w:jc w:val="both"/>
      </w:pPr>
    </w:p>
    <w:tbl>
      <w:tblPr>
        <w:tblW w:w="12710" w:type="dxa"/>
        <w:tblInd w:w="93" w:type="dxa"/>
        <w:tblLook w:val="04A0" w:firstRow="1" w:lastRow="0" w:firstColumn="1" w:lastColumn="0" w:noHBand="0" w:noVBand="1"/>
      </w:tblPr>
      <w:tblGrid>
        <w:gridCol w:w="2591"/>
        <w:gridCol w:w="1464"/>
        <w:gridCol w:w="1430"/>
        <w:gridCol w:w="1430"/>
        <w:gridCol w:w="1430"/>
        <w:gridCol w:w="1430"/>
        <w:gridCol w:w="1505"/>
        <w:gridCol w:w="75"/>
        <w:gridCol w:w="1355"/>
      </w:tblGrid>
      <w:tr w:rsidR="000D35DD" w:rsidRPr="000D35DD" w:rsidTr="000D35DD">
        <w:trPr>
          <w:trHeight w:val="255"/>
        </w:trPr>
        <w:tc>
          <w:tcPr>
            <w:tcW w:w="12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D35DD">
              <w:rPr>
                <w:b/>
                <w:bCs/>
                <w:sz w:val="20"/>
                <w:szCs w:val="20"/>
                <w:u w:val="single"/>
              </w:rPr>
              <w:t>Summary Statement of Condition</w:t>
            </w:r>
          </w:p>
        </w:tc>
      </w:tr>
      <w:tr w:rsidR="000D35DD" w:rsidRPr="000D35DD" w:rsidTr="000D35DD">
        <w:trPr>
          <w:trHeight w:val="10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60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General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Special Revenue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Debt Service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Capital Projects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Enterprise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Library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5DD" w:rsidRPr="000D35DD" w:rsidRDefault="000D35DD" w:rsidP="000D35DD">
            <w:pPr>
              <w:jc w:val="center"/>
              <w:rPr>
                <w:sz w:val="20"/>
                <w:szCs w:val="20"/>
                <w:u w:val="single"/>
              </w:rPr>
            </w:pPr>
            <w:r w:rsidRPr="000D35DD">
              <w:rPr>
                <w:sz w:val="20"/>
                <w:szCs w:val="20"/>
                <w:u w:val="single"/>
              </w:rPr>
              <w:t>Pension Trust</w:t>
            </w: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Beginning Fund Equity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</w:t>
            </w:r>
            <w:r w:rsidRPr="000D35DD">
              <w:rPr>
                <w:sz w:val="20"/>
                <w:szCs w:val="20"/>
              </w:rPr>
              <w:t xml:space="preserve">4,957,822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   </w:t>
            </w:r>
            <w:r>
              <w:rPr>
                <w:sz w:val="20"/>
                <w:szCs w:val="20"/>
              </w:rPr>
              <w:t xml:space="preserve">    </w:t>
            </w:r>
            <w:r w:rsidRPr="000D35DD">
              <w:rPr>
                <w:sz w:val="20"/>
                <w:szCs w:val="20"/>
              </w:rPr>
              <w:t xml:space="preserve">711,225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       </w:t>
            </w:r>
            <w:r w:rsidRPr="000D35DD">
              <w:rPr>
                <w:sz w:val="20"/>
                <w:szCs w:val="20"/>
              </w:rPr>
              <w:t xml:space="preserve">717,686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</w:t>
            </w:r>
            <w:r>
              <w:rPr>
                <w:sz w:val="20"/>
                <w:szCs w:val="20"/>
              </w:rPr>
              <w:t xml:space="preserve">    </w:t>
            </w:r>
            <w:r w:rsidRPr="000D35DD">
              <w:rPr>
                <w:sz w:val="20"/>
                <w:szCs w:val="20"/>
              </w:rPr>
              <w:t xml:space="preserve">2,539,803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</w:t>
            </w:r>
            <w:r>
              <w:rPr>
                <w:sz w:val="20"/>
                <w:szCs w:val="20"/>
              </w:rPr>
              <w:t xml:space="preserve"> </w:t>
            </w:r>
            <w:r w:rsidRPr="000D35DD">
              <w:rPr>
                <w:sz w:val="20"/>
                <w:szCs w:val="20"/>
              </w:rPr>
              <w:t xml:space="preserve">17,628,484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 </w:t>
            </w:r>
            <w:r>
              <w:rPr>
                <w:sz w:val="20"/>
                <w:szCs w:val="20"/>
              </w:rPr>
              <w:t xml:space="preserve">   </w:t>
            </w:r>
            <w:r w:rsidRPr="000D35DD">
              <w:rPr>
                <w:sz w:val="20"/>
                <w:szCs w:val="20"/>
              </w:rPr>
              <w:t xml:space="preserve">1,716,301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D35DD">
              <w:rPr>
                <w:sz w:val="20"/>
                <w:szCs w:val="20"/>
              </w:rPr>
              <w:t xml:space="preserve">34,816,321 </w:t>
            </w:r>
          </w:p>
        </w:tc>
      </w:tr>
      <w:tr w:rsidR="000D35DD" w:rsidRPr="000D35DD" w:rsidTr="000D35DD">
        <w:trPr>
          <w:trHeight w:val="15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Revenues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0D35DD">
              <w:rPr>
                <w:sz w:val="20"/>
                <w:szCs w:val="20"/>
              </w:rPr>
              <w:t xml:space="preserve">18,208,373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536,802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232,384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4,319,073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8,049,613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2,696,361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5,964,100 </w:t>
            </w:r>
          </w:p>
        </w:tc>
      </w:tr>
      <w:tr w:rsidR="000D35DD" w:rsidRPr="000D35DD" w:rsidTr="000D35DD">
        <w:trPr>
          <w:trHeight w:val="15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Expenditures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15,375,702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113,359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651,199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5,953,998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7,933,937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2,832,594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2,229,987 </w:t>
            </w:r>
          </w:p>
        </w:tc>
      </w:tr>
      <w:tr w:rsidR="000D35DD" w:rsidRPr="000D35DD" w:rsidTr="000D35DD">
        <w:trPr>
          <w:trHeight w:val="15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30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Other Financing Sources (Uses)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(2,830,000)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571,617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4,646,495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2,700,000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  90,985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                        -   </w:t>
            </w:r>
          </w:p>
        </w:tc>
      </w:tr>
      <w:tr w:rsidR="000D35DD" w:rsidRPr="000D35DD" w:rsidTr="000D35DD">
        <w:trPr>
          <w:trHeight w:val="15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30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Ending Fund Equity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 4,960,493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$ 1,134,668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   870,488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$ 5,551,373 </w:t>
            </w:r>
          </w:p>
        </w:tc>
        <w:tc>
          <w:tcPr>
            <w:tcW w:w="14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$ 20,444,160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 1,671,053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jc w:val="right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 $ 38,550,434 </w:t>
            </w: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Subscribed and sworn to this </w:t>
            </w:r>
            <w:r>
              <w:rPr>
                <w:sz w:val="20"/>
                <w:szCs w:val="20"/>
              </w:rPr>
              <w:t>15th</w:t>
            </w:r>
            <w:r w:rsidRPr="000D35DD">
              <w:rPr>
                <w:sz w:val="20"/>
                <w:szCs w:val="20"/>
              </w:rPr>
              <w:t xml:space="preserve"> day of October, 2013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Darrell</w:t>
            </w:r>
            <w:r>
              <w:rPr>
                <w:sz w:val="20"/>
                <w:szCs w:val="20"/>
              </w:rPr>
              <w:t xml:space="preserve"> </w:t>
            </w:r>
            <w:r w:rsidRPr="000D35DD">
              <w:rPr>
                <w:sz w:val="20"/>
                <w:szCs w:val="20"/>
              </w:rPr>
              <w:t>Langlois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Village Treasurer</w:t>
            </w: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12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 xml:space="preserve">I, Christine Bruton, Village Clerk of the Village of Hinsdale, Cook and </w:t>
            </w:r>
            <w:proofErr w:type="spellStart"/>
            <w:r w:rsidRPr="000D35DD">
              <w:rPr>
                <w:sz w:val="20"/>
                <w:szCs w:val="20"/>
              </w:rPr>
              <w:t>DuPage</w:t>
            </w:r>
            <w:proofErr w:type="spellEnd"/>
            <w:r w:rsidRPr="000D35DD">
              <w:rPr>
                <w:sz w:val="20"/>
                <w:szCs w:val="20"/>
              </w:rPr>
              <w:t xml:space="preserve"> Counties, Illinois do hereby certify that the above is a true copy</w:t>
            </w:r>
          </w:p>
        </w:tc>
      </w:tr>
      <w:tr w:rsidR="000D35DD" w:rsidRPr="000D35DD" w:rsidTr="000D35DD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proofErr w:type="gramStart"/>
            <w:r w:rsidRPr="000D35DD">
              <w:rPr>
                <w:sz w:val="20"/>
                <w:szCs w:val="20"/>
              </w:rPr>
              <w:t>of</w:t>
            </w:r>
            <w:proofErr w:type="gramEnd"/>
            <w:r w:rsidRPr="000D35DD">
              <w:rPr>
                <w:sz w:val="20"/>
                <w:szCs w:val="20"/>
              </w:rPr>
              <w:t xml:space="preserve"> the Annual Treasurer's Report of the Fiscal Year Ending April 30, 2013.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Default="000D35DD" w:rsidP="000D35DD">
            <w:pPr>
              <w:rPr>
                <w:sz w:val="20"/>
                <w:szCs w:val="20"/>
              </w:rPr>
            </w:pPr>
          </w:p>
          <w:p w:rsidR="000D35DD" w:rsidRPr="000D35DD" w:rsidRDefault="000D35DD" w:rsidP="000D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</w:t>
            </w:r>
            <w:r w:rsidRPr="000D35DD">
              <w:rPr>
                <w:sz w:val="20"/>
                <w:szCs w:val="20"/>
              </w:rPr>
              <w:t>Bruton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  <w:tr w:rsidR="000D35DD" w:rsidRPr="000D35DD" w:rsidTr="000D35D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t>Village Clerk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DD" w:rsidRPr="000D35DD" w:rsidRDefault="000D35DD" w:rsidP="000D35DD">
            <w:pPr>
              <w:rPr>
                <w:sz w:val="20"/>
                <w:szCs w:val="20"/>
              </w:rPr>
            </w:pPr>
          </w:p>
        </w:tc>
      </w:tr>
    </w:tbl>
    <w:p w:rsidR="001F38DD" w:rsidRDefault="001F38DD" w:rsidP="000D35DD"/>
    <w:sectPr w:rsidR="001F38DD" w:rsidSect="000D3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2"/>
    <w:rsid w:val="000D35DD"/>
    <w:rsid w:val="001F38DD"/>
    <w:rsid w:val="00540C0D"/>
    <w:rsid w:val="008A7A32"/>
    <w:rsid w:val="00D60B70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cwebber</dc:creator>
  <cp:lastModifiedBy>cwebber</cp:lastModifiedBy>
  <cp:revision>5</cp:revision>
  <cp:lastPrinted>2013-10-15T15:16:00Z</cp:lastPrinted>
  <dcterms:created xsi:type="dcterms:W3CDTF">2013-10-01T18:57:00Z</dcterms:created>
  <dcterms:modified xsi:type="dcterms:W3CDTF">2013-10-15T15:19:00Z</dcterms:modified>
</cp:coreProperties>
</file>